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0151C"/>
          <w:sz w:val="36"/>
        </w:rPr>
        <w:t>과 업 내 용 서 (안)</w:t>
      </w:r>
    </w:p>
    <w:p>
      <w:pPr>
        <w:jc w:val="center"/>
      </w:pPr>
      <w:r>
        <w:rPr>
          <w:color w:val="6B7280"/>
          <w:sz w:val="17"/>
        </w:rPr>
        <w:t>축제 진단·개선 컨설팅 — 한국축제지원센터 표준 양식 · 기관 사정에 맞게 수정하여 사용하십시오.</w:t>
      </w:r>
    </w:p>
    <w:p/>
    <w:p>
      <w:r>
        <w:rPr>
          <w:b/>
          <w:color w:val="1F5F3F"/>
          <w:sz w:val="24"/>
        </w:rPr>
        <w:t>1. 사업 개요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268"/>
          </w:tcPr>
          <w:p>
            <w:r>
              <w:rPr>
                <w:b/>
                <w:sz w:val="19"/>
              </w:rPr>
              <w:t>사 업 명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20    년 [축제명] 진단·개선 컨설팅 (또는 원포인트 클리닉 / 클리닉 워크숍)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발 주 처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[기관명]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수행기관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(사)한국문화기획학교 한국축제지원센터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과업기간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계약일로부터   개월 (또는 20  .  .  . ~ 20  .  .  .)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소요예산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금            원 (부가가치세 별도) — 예산과목: [                    ]</w:t>
            </w:r>
          </w:p>
        </w:tc>
      </w:tr>
    </w:tbl>
    <w:p>
      <w:r>
        <w:rPr>
          <w:b/>
          <w:color w:val="1F5F3F"/>
          <w:sz w:val="24"/>
        </w:rPr>
        <w:t>2. 과업의 목적</w:t>
      </w:r>
    </w:p>
    <w:p>
      <w:r>
        <w:rPr>
          <w:sz w:val="20"/>
        </w:rPr>
        <w:t>[축제명]의 [해결하고자 하는 문제 — 예: 킬러 콘텐츠 부재 / 먹거리존 리뉴얼 / 안전 동선 / 평가 대비 등]에 대하여 현장 전문가의 진단과 개선 로드맵을 확보하고, 차년도 운영 및 평가 대응의 근거 자료를 마련한다.</w:t>
      </w:r>
    </w:p>
    <w:p>
      <w:r>
        <w:rPr>
          <w:b/>
          <w:color w:val="1F5F3F"/>
          <w:sz w:val="24"/>
        </w:rPr>
        <w:t>3. 과업의 범위</w:t>
      </w:r>
    </w:p>
    <w:p>
      <w:r>
        <w:rPr>
          <w:sz w:val="20"/>
        </w:rPr>
        <w:t>① 사전 진단 — 의뢰서·운영 자료·전년도 평가 자료 분석 및 핵심 쟁점 정의</w:t>
      </w:r>
    </w:p>
    <w:p>
      <w:r>
        <w:rPr>
          <w:sz w:val="20"/>
        </w:rPr>
        <w:t>② 현장 실사 — 축제 현장(또는 개최 예정지) 방문 점검  ※ 원포인트 클리닉은 생략 가능</w:t>
      </w:r>
    </w:p>
    <w:p>
      <w:r>
        <w:rPr>
          <w:sz w:val="20"/>
        </w:rPr>
        <w:t>③ 전문가 클리닉 — 분야 적합 전문가 매칭, 클리닉 회의  회 (ZOOM 또는 대면, 회당 90분)</w:t>
      </w:r>
    </w:p>
    <w:p>
      <w:r>
        <w:rPr>
          <w:sz w:val="20"/>
        </w:rPr>
        <w:t>④ 진단·개선 보고서 — 국내외 사례 벤치마킹을 포함한 진단 결과 및 개선 로드맵 납품</w:t>
      </w:r>
    </w:p>
    <w:p>
      <w:r>
        <w:rPr>
          <w:sz w:val="20"/>
        </w:rPr>
        <w:t>⑤ 사후 검토 — 보고서 납품 후 후속 질의에 대한 서면 회신 (  회)</w:t>
      </w:r>
    </w:p>
    <w:p>
      <w:r>
        <w:rPr>
          <w:b/>
          <w:color w:val="1F5F3F"/>
          <w:sz w:val="24"/>
        </w:rPr>
        <w:t>4. 산출물 및 납품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2268"/>
          </w:tcPr>
          <w:p>
            <w:r>
              <w:rPr>
                <w:b/>
                <w:sz w:val="19"/>
              </w:rPr>
              <w:t>산 출 물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진단·개선 보고서 1식 (PDF 및 편집본), 클리닉 회의 요약 1식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납품기한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과업 종료일까지</w:t>
            </w:r>
          </w:p>
        </w:tc>
      </w:tr>
      <w:tr>
        <w:tc>
          <w:tcPr>
            <w:tcW w:type="dxa" w:w="2268"/>
          </w:tcPr>
          <w:p>
            <w:r>
              <w:rPr>
                <w:b/>
                <w:sz w:val="19"/>
              </w:rPr>
              <w:t>검     수</w:t>
            </w:r>
          </w:p>
        </w:tc>
        <w:tc>
          <w:tcPr>
            <w:tcW w:type="dxa" w:w="6803"/>
          </w:tcPr>
          <w:p>
            <w:r>
              <w:rPr>
                <w:sz w:val="19"/>
              </w:rPr>
              <w:t>발주처 담당자 검수 후 납품확인서 발행</w:t>
            </w:r>
          </w:p>
        </w:tc>
      </w:tr>
    </w:tbl>
    <w:p>
      <w:r>
        <w:rPr>
          <w:b/>
          <w:color w:val="1F5F3F"/>
          <w:sz w:val="24"/>
        </w:rPr>
        <w:t>5. 대가 및 지급</w:t>
      </w:r>
    </w:p>
    <w:p>
      <w:r>
        <w:rPr>
          <w:sz w:val="20"/>
        </w:rPr>
        <w:t>총 과업 대가는 금       원(부가가치세 별도)으로 하며, 계약 체결 후 발주처의 지급 절차에 따라 지급한다. 수행기관은 세금계산서를 발행한다.</w:t>
      </w:r>
    </w:p>
    <w:p>
      <w:r>
        <w:rPr>
          <w:b/>
          <w:color w:val="1F5F3F"/>
          <w:sz w:val="24"/>
        </w:rPr>
        <w:t>6. 기타</w:t>
      </w:r>
    </w:p>
    <w:p>
      <w:r>
        <w:rPr>
          <w:sz w:val="20"/>
        </w:rPr>
        <w:t>① 과업 수행 중 알게 된 발주처의 내부 정보는 외부에 공개하지 아니한다.</w:t>
      </w:r>
    </w:p>
    <w:p>
      <w:r>
        <w:rPr>
          <w:sz w:val="20"/>
        </w:rPr>
        <w:t>② 본 과업내용서에 명시되지 않은 사항은 발주처와 수행기관이 협의하여 정한다.</w:t>
      </w:r>
    </w:p>
    <w:p/>
    <w:p>
      <w:r>
        <w:rPr>
          <w:color w:val="6B7280"/>
          <w:sz w:val="17"/>
        </w:rPr>
        <w:t>문의 · 한국축제지원센터  |  02-749-6365  |  kacs2013@naver.com  |  www.kfesta.kr</w:t>
      </w:r>
    </w:p>
    <w:sectPr w:rsidR="00FC693F" w:rsidRPr="0006063C" w:rsidSect="00034616">
      <w:pgSz w:w="12240" w:h="15840"/>
      <w:pgMar w:top="1247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